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1D65" w14:textId="72577CCE" w:rsidR="00C23480" w:rsidRDefault="00EE1778">
      <w:pPr>
        <w:jc w:val="center"/>
        <w:rPr>
          <w:b/>
        </w:rPr>
      </w:pPr>
      <w:r>
        <w:rPr>
          <w:b/>
        </w:rPr>
        <w:t>GUIDA PER LA VALUTAZIONE</w:t>
      </w:r>
    </w:p>
    <w:p w14:paraId="4CC19557" w14:textId="77777777" w:rsidR="00C23480" w:rsidRDefault="00C23480"/>
    <w:p w14:paraId="398B08CB" w14:textId="77777777" w:rsidR="00C23480" w:rsidRDefault="00C23480"/>
    <w:p w14:paraId="25DD1396" w14:textId="77777777" w:rsidR="00C23480" w:rsidRDefault="00EE1778">
      <w:r>
        <w:t xml:space="preserve">Durante la fase di </w:t>
      </w:r>
      <w:r>
        <w:rPr>
          <w:b/>
        </w:rPr>
        <w:t>VALUTAZIONE</w:t>
      </w:r>
      <w:r>
        <w:t xml:space="preserve"> sono previste le seguenti attività:</w:t>
      </w:r>
    </w:p>
    <w:p w14:paraId="2D45320B" w14:textId="77777777" w:rsidR="00C23480" w:rsidRDefault="00C23480"/>
    <w:p w14:paraId="529D8D96" w14:textId="69D1C687" w:rsidR="00C23480" w:rsidRDefault="00EE1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 xml:space="preserve">Analisi del Documento di trasparenza </w:t>
      </w:r>
      <w:r w:rsidR="00890139">
        <w:rPr>
          <w:color w:val="000000"/>
        </w:rPr>
        <w:t xml:space="preserve">- </w:t>
      </w:r>
      <w:r>
        <w:rPr>
          <w:color w:val="000000"/>
        </w:rPr>
        <w:t>Dossier personale;</w:t>
      </w:r>
    </w:p>
    <w:p w14:paraId="014D992D" w14:textId="77777777" w:rsidR="00C23480" w:rsidRDefault="00EE1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 xml:space="preserve">Registrazione nella </w:t>
      </w:r>
      <w:r>
        <w:rPr>
          <w:b/>
          <w:i/>
          <w:color w:val="0070C0"/>
        </w:rPr>
        <w:t>Scheda di valutazione delle evidenze</w:t>
      </w:r>
      <w:r>
        <w:rPr>
          <w:color w:val="000000"/>
        </w:rPr>
        <w:t xml:space="preserve"> (All.1) degli esiti dell’analisi effettuata;</w:t>
      </w:r>
    </w:p>
    <w:p w14:paraId="18F9F31F" w14:textId="2FBA1AC9" w:rsidR="00C23480" w:rsidRDefault="00EE1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Somministrazione di prove;</w:t>
      </w:r>
    </w:p>
    <w:p w14:paraId="47F0A057" w14:textId="707E75E6" w:rsidR="00C23480" w:rsidRDefault="00EE1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 xml:space="preserve">Compilazione del </w:t>
      </w:r>
      <w:r>
        <w:rPr>
          <w:b/>
          <w:i/>
          <w:color w:val="0070C0"/>
        </w:rPr>
        <w:t>Verbale di validazione</w:t>
      </w:r>
      <w:r w:rsidR="00154E35">
        <w:rPr>
          <w:b/>
          <w:i/>
          <w:color w:val="0070C0"/>
        </w:rPr>
        <w:t xml:space="preserve"> delle competenze</w:t>
      </w:r>
      <w:r>
        <w:rPr>
          <w:b/>
          <w:i/>
          <w:color w:val="0070C0"/>
        </w:rPr>
        <w:t xml:space="preserve"> </w:t>
      </w:r>
      <w:r>
        <w:t>(All.2)</w:t>
      </w:r>
      <w:r>
        <w:rPr>
          <w:color w:val="000000"/>
        </w:rPr>
        <w:t>.</w:t>
      </w:r>
    </w:p>
    <w:p w14:paraId="7543F1CC" w14:textId="77777777" w:rsidR="00C23480" w:rsidRDefault="00C23480">
      <w:pPr>
        <w:spacing w:before="240" w:line="276" w:lineRule="auto"/>
        <w:jc w:val="both"/>
        <w:rPr>
          <w:sz w:val="14"/>
          <w:szCs w:val="14"/>
        </w:rPr>
      </w:pPr>
    </w:p>
    <w:p w14:paraId="4AA00C81" w14:textId="77777777" w:rsidR="00C23480" w:rsidRDefault="00EE1778">
      <w:pPr>
        <w:spacing w:before="240" w:line="276" w:lineRule="auto"/>
        <w:jc w:val="both"/>
        <w:rPr>
          <w:sz w:val="14"/>
          <w:szCs w:val="14"/>
          <w:u w:val="single"/>
        </w:rPr>
      </w:pPr>
      <w:r>
        <w:rPr>
          <w:b/>
          <w:color w:val="0070C0"/>
          <w:u w:val="single"/>
        </w:rPr>
        <w:t>SCHEDA DI VALUTAZIONE DELLE EVIDENZE</w:t>
      </w:r>
    </w:p>
    <w:p w14:paraId="36E1B56B" w14:textId="1D6665A9" w:rsidR="00C23480" w:rsidRDefault="00EE1778" w:rsidP="00890139">
      <w:pPr>
        <w:spacing w:line="276" w:lineRule="auto"/>
        <w:jc w:val="both"/>
        <w:rPr>
          <w:i/>
          <w:color w:val="000000"/>
        </w:rPr>
      </w:pPr>
      <w:r>
        <w:t xml:space="preserve">Il </w:t>
      </w:r>
      <w:r>
        <w:rPr>
          <w:i/>
        </w:rPr>
        <w:t>Documento di trasparenza</w:t>
      </w:r>
      <w:r>
        <w:t xml:space="preserve"> è sottoposto ad una valutazione che ha per oggetto le evidenze e la loro attitudine a testimoniare le competenze cui sono associate, tenendo conto d</w:t>
      </w:r>
      <w:r w:rsidR="00890139">
        <w:t xml:space="preserve">el </w:t>
      </w:r>
      <w:r>
        <w:rPr>
          <w:b/>
          <w:color w:val="000000"/>
        </w:rPr>
        <w:t>contesto</w:t>
      </w:r>
      <w:r>
        <w:rPr>
          <w:color w:val="000000"/>
        </w:rPr>
        <w:t xml:space="preserve"> (formale/ non formale/ informale) e</w:t>
      </w:r>
      <w:r w:rsidR="00890139">
        <w:rPr>
          <w:color w:val="000000"/>
        </w:rPr>
        <w:t xml:space="preserve"> del </w:t>
      </w:r>
      <w:r>
        <w:rPr>
          <w:b/>
          <w:color w:val="000000"/>
        </w:rPr>
        <w:t>periodo di acquisizione delle competenze</w:t>
      </w:r>
      <w:r>
        <w:rPr>
          <w:color w:val="000000"/>
        </w:rPr>
        <w:t xml:space="preserve">, indicati nel </w:t>
      </w:r>
      <w:r>
        <w:rPr>
          <w:i/>
          <w:color w:val="000000"/>
        </w:rPr>
        <w:t>Documento di trasparenza</w:t>
      </w:r>
      <w:r w:rsidR="00890139">
        <w:rPr>
          <w:i/>
          <w:color w:val="000000"/>
        </w:rPr>
        <w:t>.</w:t>
      </w:r>
    </w:p>
    <w:p w14:paraId="7C56CC8C" w14:textId="77777777" w:rsidR="00890139" w:rsidRDefault="00890139" w:rsidP="00890139">
      <w:pPr>
        <w:spacing w:line="276" w:lineRule="auto"/>
        <w:jc w:val="both"/>
        <w:rPr>
          <w:color w:val="000000"/>
          <w:sz w:val="18"/>
          <w:szCs w:val="18"/>
        </w:rPr>
      </w:pPr>
    </w:p>
    <w:p w14:paraId="0BF9A536" w14:textId="77777777" w:rsidR="00C23480" w:rsidRDefault="00C23480">
      <w:pPr>
        <w:spacing w:line="276" w:lineRule="auto"/>
        <w:jc w:val="both"/>
      </w:pPr>
    </w:p>
    <w:tbl>
      <w:tblPr>
        <w:tblStyle w:val="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8787"/>
      </w:tblGrid>
      <w:tr w:rsidR="00C23480" w14:paraId="52EBE236" w14:textId="77777777" w:rsidTr="00FF73F5">
        <w:trPr>
          <w:cantSplit/>
          <w:trHeight w:val="1134"/>
          <w:jc w:val="center"/>
        </w:trPr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43CC35" w14:textId="77777777" w:rsidR="00C23480" w:rsidRDefault="00C23480" w:rsidP="00FF73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AFDBA96" w14:textId="77777777" w:rsidR="00C23480" w:rsidRDefault="00EE1778">
            <w:pPr>
              <w:jc w:val="center"/>
              <w:rPr>
                <w:b/>
              </w:rPr>
            </w:pPr>
            <w:r>
              <w:rPr>
                <w:b/>
              </w:rPr>
              <w:t>SCHEDA DI VALUTAZIONE DELLE EVIDENZE</w:t>
            </w:r>
          </w:p>
        </w:tc>
      </w:tr>
      <w:tr w:rsidR="00C23480" w14:paraId="31AD760C" w14:textId="77777777" w:rsidTr="00FF73F5">
        <w:trPr>
          <w:cantSplit/>
          <w:trHeight w:val="1134"/>
          <w:jc w:val="center"/>
        </w:trPr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</w:tcPr>
          <w:p w14:paraId="3E521AAB" w14:textId="77777777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Colonne 1 e 2</w:t>
            </w:r>
          </w:p>
        </w:tc>
        <w:tc>
          <w:tcPr>
            <w:tcW w:w="8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D5DEEC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Abilità e conoscenze</w:t>
            </w:r>
          </w:p>
          <w:p w14:paraId="1DD5E48B" w14:textId="77777777" w:rsidR="00C23480" w:rsidRDefault="00EE1778">
            <w:pPr>
              <w:tabs>
                <w:tab w:val="left" w:pos="420"/>
              </w:tabs>
              <w:spacing w:after="240"/>
              <w:ind w:left="207"/>
              <w:jc w:val="both"/>
            </w:pPr>
            <w:r>
              <w:rPr>
                <w:b/>
              </w:rPr>
              <w:t>Inserire le abilità e le conoscenze che compongono l'Unità di competenza</w:t>
            </w:r>
            <w:r>
              <w:t>: numerare le abilità e le conoscenze per agevolare la successiva redazione della Scheda.</w:t>
            </w:r>
          </w:p>
        </w:tc>
      </w:tr>
      <w:tr w:rsidR="00C23480" w14:paraId="34629607" w14:textId="77777777" w:rsidTr="00FF73F5">
        <w:trPr>
          <w:trHeight w:val="317"/>
          <w:jc w:val="center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</w:tcPr>
          <w:p w14:paraId="6696841F" w14:textId="77777777" w:rsidR="00C23480" w:rsidRDefault="00C23480" w:rsidP="00FF7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78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578A54" w14:textId="77777777" w:rsidR="00C23480" w:rsidRDefault="00C2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480" w14:paraId="5359A112" w14:textId="77777777" w:rsidTr="00FF73F5">
        <w:trPr>
          <w:cantSplit/>
          <w:trHeight w:val="1304"/>
          <w:jc w:val="center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</w:tcPr>
          <w:p w14:paraId="45225865" w14:textId="77777777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Colonna 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1A5E9F7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Evidenze a supporto</w:t>
            </w:r>
          </w:p>
          <w:p w14:paraId="650D8950" w14:textId="77777777" w:rsidR="00C23480" w:rsidRDefault="00EE1778">
            <w:pPr>
              <w:spacing w:line="276" w:lineRule="auto"/>
              <w:ind w:left="207"/>
            </w:pPr>
            <w:r>
              <w:t>Nelle varie celle,</w:t>
            </w:r>
            <w:r>
              <w:rPr>
                <w:b/>
              </w:rPr>
              <w:t xml:space="preserve"> inserire la denominazione estesa delle evidenze</w:t>
            </w:r>
            <w:r>
              <w:t xml:space="preserve"> a supporto dell'Unità di Competenza: ad una evidenza dedicare una sola cella.</w:t>
            </w:r>
          </w:p>
        </w:tc>
      </w:tr>
      <w:tr w:rsidR="00C23480" w14:paraId="20EE3A7D" w14:textId="77777777" w:rsidTr="00FF73F5">
        <w:trPr>
          <w:cantSplit/>
          <w:trHeight w:val="1644"/>
          <w:jc w:val="center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6EF4BDF5" w14:textId="53CAE0AB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Colonna </w:t>
            </w:r>
            <w:r w:rsidR="00890139">
              <w:rPr>
                <w:b/>
                <w:sz w:val="20"/>
                <w:szCs w:val="20"/>
                <w:u w:val="single"/>
              </w:rPr>
              <w:t>4 e 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85EC8" w14:textId="77777777" w:rsidR="00C23480" w:rsidRDefault="00EE1778">
            <w:pPr>
              <w:tabs>
                <w:tab w:val="left" w:pos="4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Giudizio</w:t>
            </w:r>
          </w:p>
          <w:p w14:paraId="2DC90562" w14:textId="77777777" w:rsidR="00C23480" w:rsidRDefault="00EE1778">
            <w:pPr>
              <w:tabs>
                <w:tab w:val="left" w:pos="420"/>
              </w:tabs>
              <w:ind w:left="207"/>
              <w:jc w:val="both"/>
            </w:pPr>
            <w:r>
              <w:t>Per ciascuna unità di competenza sottoposta a valutazione delle evidenze, formulare un giudizio considerando il grado di copertura della competenza e il valore delle evidenze.</w:t>
            </w:r>
          </w:p>
          <w:p w14:paraId="13E05B91" w14:textId="77777777" w:rsidR="00C23480" w:rsidRDefault="00EE1778">
            <w:pPr>
              <w:tabs>
                <w:tab w:val="left" w:pos="4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Note</w:t>
            </w:r>
          </w:p>
          <w:p w14:paraId="212590C9" w14:textId="77777777" w:rsidR="00C23480" w:rsidRDefault="00EE1778">
            <w:pPr>
              <w:tabs>
                <w:tab w:val="left" w:pos="420"/>
              </w:tabs>
              <w:ind w:left="207"/>
              <w:jc w:val="both"/>
            </w:pPr>
            <w:r>
              <w:t>Per ciascuna unità di competenza sottoposta a valutazione delle evidenze, indicare gli elementi che si intendono approfondire attraverso la somministrazione delle prove.</w:t>
            </w:r>
          </w:p>
          <w:p w14:paraId="393030F5" w14:textId="77777777" w:rsidR="00C23480" w:rsidRDefault="00C23480">
            <w:pPr>
              <w:tabs>
                <w:tab w:val="left" w:pos="420"/>
              </w:tabs>
              <w:ind w:left="207"/>
              <w:jc w:val="both"/>
              <w:rPr>
                <w:b/>
                <w:u w:val="single"/>
              </w:rPr>
            </w:pPr>
          </w:p>
          <w:p w14:paraId="08D2FADA" w14:textId="77777777" w:rsidR="00C23480" w:rsidRDefault="00EE1778">
            <w:pPr>
              <w:tabs>
                <w:tab w:val="left" w:pos="420"/>
              </w:tabs>
              <w:ind w:left="207"/>
              <w:jc w:val="both"/>
            </w:pPr>
            <w:r>
              <w:t xml:space="preserve">Il giudizio e le note costituiranno la </w:t>
            </w:r>
            <w:r>
              <w:rPr>
                <w:b/>
                <w:color w:val="00B050"/>
              </w:rPr>
              <w:t xml:space="preserve">sezione n.1 del </w:t>
            </w:r>
            <w:r>
              <w:rPr>
                <w:b/>
                <w:i/>
                <w:color w:val="00B050"/>
              </w:rPr>
              <w:t>Verbale di validazione</w:t>
            </w:r>
            <w:r>
              <w:rPr>
                <w:color w:val="00B050"/>
              </w:rPr>
              <w:t>.</w:t>
            </w:r>
          </w:p>
        </w:tc>
      </w:tr>
    </w:tbl>
    <w:p w14:paraId="6E469736" w14:textId="44F756C9" w:rsidR="00C23480" w:rsidRDefault="00C23480"/>
    <w:p w14:paraId="5A6DF32F" w14:textId="2919D64A" w:rsidR="00844978" w:rsidRDefault="00844978"/>
    <w:p w14:paraId="5F3EAA60" w14:textId="021B0862" w:rsidR="00890139" w:rsidRDefault="00890139"/>
    <w:p w14:paraId="621D5378" w14:textId="1A180175" w:rsidR="00890139" w:rsidRDefault="00890139"/>
    <w:p w14:paraId="25FCAE56" w14:textId="69B8E1FF" w:rsidR="00890139" w:rsidRDefault="00890139"/>
    <w:p w14:paraId="74C2DBC9" w14:textId="72769A4A" w:rsidR="00890139" w:rsidRDefault="00890139"/>
    <w:p w14:paraId="4B09F4DB" w14:textId="580345A8" w:rsidR="00890139" w:rsidRDefault="00890139"/>
    <w:p w14:paraId="10941E8B" w14:textId="1D646C2D" w:rsidR="00890139" w:rsidRDefault="00890139"/>
    <w:p w14:paraId="3096BE3C" w14:textId="220CCD01" w:rsidR="00890139" w:rsidRDefault="00890139"/>
    <w:p w14:paraId="60216498" w14:textId="7C1D1520" w:rsidR="00890139" w:rsidRDefault="00890139"/>
    <w:p w14:paraId="02C05AC6" w14:textId="28671202" w:rsidR="00890139" w:rsidRDefault="00890139"/>
    <w:p w14:paraId="2523EF99" w14:textId="0B34D3A7" w:rsidR="00C23480" w:rsidRDefault="00EE1778">
      <w:pPr>
        <w:rPr>
          <w:b/>
          <w:color w:val="0070C0"/>
        </w:rPr>
      </w:pPr>
      <w:r>
        <w:rPr>
          <w:b/>
          <w:color w:val="0070C0"/>
        </w:rPr>
        <w:lastRenderedPageBreak/>
        <w:t>VERBALE DI VALIDAZIONE DELLE COMPETENZE</w:t>
      </w:r>
    </w:p>
    <w:p w14:paraId="6EAB9985" w14:textId="77777777" w:rsidR="00C23480" w:rsidRDefault="00C23480"/>
    <w:tbl>
      <w:tblPr>
        <w:tblStyle w:val="a0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8787"/>
      </w:tblGrid>
      <w:tr w:rsidR="00C23480" w14:paraId="3FA19D05" w14:textId="77777777" w:rsidTr="00FF73F5">
        <w:trPr>
          <w:cantSplit/>
          <w:trHeight w:val="1134"/>
          <w:jc w:val="center"/>
        </w:trPr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82D7475" w14:textId="77777777" w:rsidR="00C23480" w:rsidRDefault="00C23480" w:rsidP="00FF73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D99123" w14:textId="77777777" w:rsidR="00C23480" w:rsidRDefault="00EE1778">
            <w:pPr>
              <w:jc w:val="center"/>
              <w:rPr>
                <w:b/>
              </w:rPr>
            </w:pPr>
            <w:r>
              <w:rPr>
                <w:b/>
              </w:rPr>
              <w:t>VERBALE DI VALIDAZIONE DELLE COMPETENZE</w:t>
            </w:r>
          </w:p>
        </w:tc>
      </w:tr>
      <w:tr w:rsidR="00C23480" w14:paraId="70BB9700" w14:textId="77777777" w:rsidTr="00FF73F5">
        <w:trPr>
          <w:cantSplit/>
          <w:trHeight w:val="1644"/>
          <w:jc w:val="center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36119039" w14:textId="77777777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Sezione 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D6B884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Esito analisi delle evidenze</w:t>
            </w:r>
          </w:p>
          <w:p w14:paraId="7A7189AC" w14:textId="363E038A" w:rsidR="00C23480" w:rsidRDefault="00EE1778">
            <w:pPr>
              <w:tabs>
                <w:tab w:val="left" w:pos="420"/>
              </w:tabs>
              <w:ind w:left="207"/>
              <w:jc w:val="both"/>
            </w:pPr>
            <w:r>
              <w:t xml:space="preserve">Per ciascuna unità di competenza che è stata sottoposta a valutazione (e di cui si indica l’asse di appartenenza), </w:t>
            </w:r>
            <w:r>
              <w:rPr>
                <w:b/>
              </w:rPr>
              <w:t xml:space="preserve">riportare il giudizio e le note espressi nelle </w:t>
            </w:r>
            <w:r>
              <w:rPr>
                <w:b/>
                <w:color w:val="00B050"/>
              </w:rPr>
              <w:t xml:space="preserve">colonne </w:t>
            </w:r>
            <w:r w:rsidR="00890139">
              <w:rPr>
                <w:b/>
                <w:color w:val="00B050"/>
              </w:rPr>
              <w:t>4 e 5</w:t>
            </w:r>
            <w:r>
              <w:rPr>
                <w:b/>
                <w:color w:val="00B050"/>
              </w:rPr>
              <w:t xml:space="preserve"> della </w:t>
            </w:r>
            <w:r>
              <w:rPr>
                <w:b/>
                <w:i/>
                <w:color w:val="00B050"/>
              </w:rPr>
              <w:t>Scheda di valutazione delle evidenze</w:t>
            </w:r>
            <w:r>
              <w:rPr>
                <w:b/>
              </w:rPr>
              <w:t>.</w:t>
            </w:r>
          </w:p>
        </w:tc>
      </w:tr>
      <w:tr w:rsidR="00C23480" w14:paraId="6FFB6D32" w14:textId="77777777" w:rsidTr="00FF73F5">
        <w:trPr>
          <w:cantSplit/>
          <w:trHeight w:val="1644"/>
          <w:jc w:val="center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679CBD3B" w14:textId="77777777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Sezione 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5F5F" w14:textId="77777777" w:rsidR="00C23480" w:rsidRDefault="00EE1778">
            <w:pPr>
              <w:tabs>
                <w:tab w:val="left" w:pos="420"/>
              </w:tabs>
              <w:jc w:val="both"/>
            </w:pPr>
            <w:r>
              <w:t xml:space="preserve">Nel caso in cui le evidenze siano insufficienti a convalidare interamente l’unità di competenza corrispondente, si procede con la </w:t>
            </w:r>
            <w:r>
              <w:rPr>
                <w:b/>
              </w:rPr>
              <w:t>somministrazione di opportune</w:t>
            </w:r>
            <w:r>
              <w:t xml:space="preserve"> </w:t>
            </w:r>
            <w:r>
              <w:rPr>
                <w:b/>
              </w:rPr>
              <w:t>prove</w:t>
            </w:r>
            <w:r>
              <w:t>.</w:t>
            </w:r>
          </w:p>
          <w:p w14:paraId="3F9B784F" w14:textId="77777777" w:rsidR="00C23480" w:rsidRDefault="00C23480">
            <w:pPr>
              <w:tabs>
                <w:tab w:val="left" w:pos="420"/>
              </w:tabs>
              <w:rPr>
                <w:b/>
                <w:u w:val="single"/>
              </w:rPr>
            </w:pPr>
          </w:p>
          <w:p w14:paraId="4A633C67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Abilità e conoscenze da verificare</w:t>
            </w:r>
          </w:p>
          <w:p w14:paraId="5C1113C2" w14:textId="5C702A61" w:rsidR="00C23480" w:rsidRDefault="00EE1778">
            <w:pPr>
              <w:tabs>
                <w:tab w:val="left" w:pos="420"/>
              </w:tabs>
            </w:pPr>
            <w:r>
              <w:t>Indicare le abilità e conoscenze non coperte dalle evidenze e quindi da verificare</w:t>
            </w:r>
            <w:r w:rsidR="00890139">
              <w:t>.</w:t>
            </w:r>
          </w:p>
          <w:p w14:paraId="162FD93D" w14:textId="77777777" w:rsidR="00C23480" w:rsidRDefault="00C23480">
            <w:pPr>
              <w:tabs>
                <w:tab w:val="left" w:pos="420"/>
              </w:tabs>
              <w:rPr>
                <w:b/>
                <w:u w:val="single"/>
              </w:rPr>
            </w:pPr>
          </w:p>
          <w:p w14:paraId="44ADB1E2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Tipologia e formato della prova</w:t>
            </w:r>
          </w:p>
          <w:p w14:paraId="568DF1D5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  <w:r>
              <w:rPr>
                <w:color w:val="000000"/>
              </w:rPr>
              <w:t xml:space="preserve">Indicare se si tratta di una prova orale o scritta e, in caso di prova scritta, </w:t>
            </w:r>
            <w:r>
              <w:rPr>
                <w:color w:val="211E1F"/>
              </w:rPr>
              <w:t xml:space="preserve">se prevede domande a risposta multipla, a risposta aperta breve o lunga, oppure, in caso di prova orale, se si tratta di una prova individuale (tipo monologo) o interattiva. </w:t>
            </w:r>
          </w:p>
          <w:p w14:paraId="1E836434" w14:textId="77777777" w:rsidR="00C23480" w:rsidRDefault="00C2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</w:p>
          <w:p w14:paraId="31A7E0FB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Struttura e contenuto della prova</w:t>
            </w:r>
          </w:p>
          <w:p w14:paraId="106EB89B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Indicare </w:t>
            </w:r>
            <w:r>
              <w:rPr>
                <w:color w:val="211E1F"/>
              </w:rPr>
              <w:t xml:space="preserve">la struttura interna della prova (da quanti esercizi è composta e di che tipo) e i temi </w:t>
            </w:r>
          </w:p>
          <w:p w14:paraId="02ACC75D" w14:textId="77777777" w:rsidR="00C23480" w:rsidRDefault="00EE1778">
            <w:pPr>
              <w:jc w:val="both"/>
              <w:rPr>
                <w:color w:val="211E1F"/>
              </w:rPr>
            </w:pPr>
            <w:r>
              <w:rPr>
                <w:color w:val="211E1F"/>
              </w:rPr>
              <w:t>proposti, con la possibile inclusione di indicazioni su supporti strumentali o mediali (ad esempio l’uso di immagini-stimolo).</w:t>
            </w:r>
          </w:p>
          <w:p w14:paraId="3968DEFA" w14:textId="77777777" w:rsidR="00C23480" w:rsidRDefault="00C2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</w:p>
          <w:p w14:paraId="073EEC66" w14:textId="77777777" w:rsidR="00C23480" w:rsidRDefault="00EE1778">
            <w:pPr>
              <w:tabs>
                <w:tab w:val="left" w:pos="4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Criteri per la valutazione</w:t>
            </w:r>
          </w:p>
          <w:p w14:paraId="13FFCBCA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E1F"/>
              </w:rPr>
            </w:pPr>
            <w:r>
              <w:rPr>
                <w:color w:val="000000"/>
              </w:rPr>
              <w:t xml:space="preserve">Indicare </w:t>
            </w:r>
            <w:r>
              <w:rPr>
                <w:color w:val="211E1F"/>
              </w:rPr>
              <w:t xml:space="preserve">il peso (espresso in percentuale) delle diverse sotto-prove (esercizi) che concorrono a determinare il punteggio totale. La prova può essere composta da diversi esercizi che possono avere peso uguale o diverso. </w:t>
            </w:r>
          </w:p>
          <w:p w14:paraId="5739C9D7" w14:textId="77777777" w:rsidR="00C23480" w:rsidRDefault="00C2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E1F"/>
              </w:rPr>
            </w:pPr>
          </w:p>
          <w:p w14:paraId="5F01258E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E1F"/>
                <w:u w:val="single"/>
              </w:rPr>
            </w:pPr>
            <w:r>
              <w:rPr>
                <w:b/>
                <w:color w:val="211E1F"/>
                <w:u w:val="single"/>
              </w:rPr>
              <w:t>Durata della prova</w:t>
            </w:r>
          </w:p>
          <w:p w14:paraId="4A0A9A5E" w14:textId="77777777" w:rsidR="00C23480" w:rsidRDefault="00EE1778">
            <w:pPr>
              <w:jc w:val="both"/>
              <w:rPr>
                <w:color w:val="211E1F"/>
              </w:rPr>
            </w:pPr>
            <w:r>
              <w:rPr>
                <w:color w:val="211E1F"/>
              </w:rPr>
              <w:t>Indicare la durata della prova. Se la prova è composta da più esercizi, fornire indicazioni circa la durata dei singoli esercizi.</w:t>
            </w:r>
          </w:p>
          <w:p w14:paraId="13D0E390" w14:textId="77777777" w:rsidR="00C23480" w:rsidRDefault="00C2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E1F"/>
              </w:rPr>
            </w:pPr>
          </w:p>
          <w:p w14:paraId="4FB6D5DE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E1F"/>
                <w:u w:val="single"/>
              </w:rPr>
            </w:pPr>
            <w:r>
              <w:rPr>
                <w:b/>
                <w:color w:val="211E1F"/>
                <w:u w:val="single"/>
              </w:rPr>
              <w:t>Esiti della prova</w:t>
            </w:r>
          </w:p>
          <w:p w14:paraId="34377539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  <w:r>
              <w:rPr>
                <w:color w:val="211E1F"/>
              </w:rPr>
              <w:t>Indicare se la prova è stata superata o meno.</w:t>
            </w:r>
          </w:p>
          <w:p w14:paraId="4E98E1CD" w14:textId="77777777" w:rsidR="00C23480" w:rsidRDefault="00C23480">
            <w:pPr>
              <w:rPr>
                <w:rFonts w:ascii="Caecilia LT Std" w:eastAsia="Caecilia LT Std" w:hAnsi="Caecilia LT Std" w:cs="Caecilia LT Std"/>
                <w:color w:val="000000"/>
                <w:sz w:val="24"/>
                <w:szCs w:val="24"/>
              </w:rPr>
            </w:pPr>
          </w:p>
          <w:p w14:paraId="5A1B43FF" w14:textId="77777777" w:rsidR="00C23480" w:rsidRDefault="00EE177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Dal momento che non è possibile attestare il possesso parziale delle competenze, è necessario stabilire </w:t>
            </w:r>
            <w:r>
              <w:rPr>
                <w:b/>
                <w:color w:val="000000"/>
              </w:rPr>
              <w:t>con quale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punteggio</w:t>
            </w:r>
            <w:r>
              <w:rPr>
                <w:color w:val="000000"/>
              </w:rPr>
              <w:t xml:space="preserve">, riferito alle evidenze disponibili o allo svolgimento di prove, </w:t>
            </w:r>
            <w:r>
              <w:rPr>
                <w:b/>
                <w:color w:val="000000"/>
              </w:rPr>
              <w:t>la competenza possa considerarsi interamente posseduta.</w:t>
            </w:r>
          </w:p>
          <w:p w14:paraId="630C7543" w14:textId="77777777" w:rsidR="00C23480" w:rsidRDefault="00C23480">
            <w:pPr>
              <w:jc w:val="both"/>
              <w:rPr>
                <w:b/>
                <w:u w:val="single"/>
              </w:rPr>
            </w:pPr>
          </w:p>
        </w:tc>
      </w:tr>
      <w:tr w:rsidR="00C23480" w14:paraId="3AC1F59A" w14:textId="77777777" w:rsidTr="00FF73F5">
        <w:trPr>
          <w:cantSplit/>
          <w:trHeight w:val="2608"/>
          <w:jc w:val="center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1B98F98C" w14:textId="77777777" w:rsidR="00C23480" w:rsidRDefault="00EE177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Sezione 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A365E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E1F"/>
                <w:u w:val="single"/>
              </w:rPr>
            </w:pPr>
            <w:r>
              <w:rPr>
                <w:b/>
                <w:color w:val="211E1F"/>
                <w:u w:val="single"/>
              </w:rPr>
              <w:t>Giudizio di valutazione</w:t>
            </w:r>
          </w:p>
          <w:p w14:paraId="5AF48B10" w14:textId="77777777" w:rsidR="00C23480" w:rsidRDefault="00EE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  <w:r>
              <w:rPr>
                <w:color w:val="211E1F"/>
              </w:rPr>
              <w:t>Tenendo conto dell’analisi delle evidenze e dell’esito delle prove eventualmente somministrate, indicare se l’unità di competenza sia interamente validabile o meno. Se la competenza è giudicata posseduta, indicarne la valutazione in decimi.</w:t>
            </w:r>
          </w:p>
          <w:p w14:paraId="7287D99F" w14:textId="77777777" w:rsidR="00C23480" w:rsidRDefault="00C2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E1F"/>
              </w:rPr>
            </w:pPr>
          </w:p>
          <w:p w14:paraId="60B4AFC8" w14:textId="77777777" w:rsidR="00C23480" w:rsidRDefault="00EE1778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 xml:space="preserve">Si ricorda, infatti, che la Circolare n. 22381/19 indica che </w:t>
            </w:r>
            <w:r>
              <w:rPr>
                <w:b/>
                <w:color w:val="000000"/>
              </w:rPr>
              <w:t>la valutazione di ciascuna competenza,</w:t>
            </w:r>
            <w:r>
              <w:rPr>
                <w:color w:val="000000"/>
              </w:rPr>
              <w:t xml:space="preserve"> di cui viene accertato il possesso, </w:t>
            </w:r>
            <w:r>
              <w:rPr>
                <w:b/>
                <w:color w:val="000000"/>
              </w:rPr>
              <w:t>deve essere espressa attraverso una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votazione in decimi</w:t>
            </w:r>
            <w:r>
              <w:rPr>
                <w:color w:val="000000"/>
              </w:rPr>
              <w:t xml:space="preserve"> cosicché possa contribuire alla valutazione complessiva finale dell’asse di riferimento. </w:t>
            </w:r>
          </w:p>
          <w:p w14:paraId="0EC871C9" w14:textId="77777777" w:rsidR="00C23480" w:rsidRDefault="00C23480">
            <w:pPr>
              <w:tabs>
                <w:tab w:val="left" w:pos="420"/>
              </w:tabs>
              <w:rPr>
                <w:b/>
                <w:u w:val="single"/>
              </w:rPr>
            </w:pPr>
          </w:p>
        </w:tc>
      </w:tr>
    </w:tbl>
    <w:p w14:paraId="155FF824" w14:textId="77777777" w:rsidR="00C23480" w:rsidRDefault="00C23480">
      <w:pPr>
        <w:spacing w:line="276" w:lineRule="auto"/>
        <w:jc w:val="both"/>
      </w:pPr>
    </w:p>
    <w:sectPr w:rsidR="00C234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ecilia LT St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D26"/>
    <w:multiLevelType w:val="multilevel"/>
    <w:tmpl w:val="42BA527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C0F49"/>
    <w:multiLevelType w:val="multilevel"/>
    <w:tmpl w:val="143A3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A42302"/>
    <w:multiLevelType w:val="multilevel"/>
    <w:tmpl w:val="54D6E5C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31155D"/>
    <w:multiLevelType w:val="multilevel"/>
    <w:tmpl w:val="88C0C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47C17"/>
    <w:multiLevelType w:val="multilevel"/>
    <w:tmpl w:val="8F424688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80"/>
    <w:rsid w:val="00154E35"/>
    <w:rsid w:val="00224C16"/>
    <w:rsid w:val="00844978"/>
    <w:rsid w:val="00890139"/>
    <w:rsid w:val="00C23480"/>
    <w:rsid w:val="00EE1778"/>
    <w:rsid w:val="00FC402A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DEF"/>
  <w15:docId w15:val="{7E20EA7D-CF91-43D7-98D6-F0FC7B0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84C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7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7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7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9B/jzjsQq9vDIuBmGCU8nDs4FQ==">AMUW2mV+3VSswvKD1TlmPf7qs+R0TaXJX6dNG2Db68AxiHSDMEkyyBlFj68aij90FEKtMtk4T9WkAgIzG9k/BNWsMxdGlijYW5gQzalYv/ein3r3cZ6tVW4=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Palma</dc:creator>
  <cp:lastModifiedBy>UserPC</cp:lastModifiedBy>
  <cp:revision>4</cp:revision>
  <dcterms:created xsi:type="dcterms:W3CDTF">2019-11-14T17:07:00Z</dcterms:created>
  <dcterms:modified xsi:type="dcterms:W3CDTF">2023-04-04T10:57:00Z</dcterms:modified>
</cp:coreProperties>
</file>